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C8" w:rsidRPr="00B25AD7" w:rsidRDefault="007458C8" w:rsidP="007458C8">
      <w:pPr>
        <w:ind w:right="-68"/>
        <w:rPr>
          <w:sz w:val="26"/>
          <w:szCs w:val="26"/>
        </w:rPr>
      </w:pPr>
      <w:r w:rsidRPr="00B25AD7">
        <w:rPr>
          <w:noProof/>
          <w:sz w:val="26"/>
          <w:szCs w:val="26"/>
          <w:lang w:val="en-IN" w:eastAsia="en-IN"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-1486</wp:posOffset>
            </wp:positionH>
            <wp:positionV relativeFrom="paragraph">
              <wp:posOffset>-184390</wp:posOffset>
            </wp:positionV>
            <wp:extent cx="5760648" cy="1155940"/>
            <wp:effectExtent l="19050" t="0" r="0" b="0"/>
            <wp:wrapNone/>
            <wp:docPr id="1" name="Picture 4" descr="C:\Users\Umesh\Desktop\Letter Heads\letter head-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mesh\Desktop\Letter Heads\letter head-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648" cy="115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58C8" w:rsidRPr="00B25AD7" w:rsidRDefault="007458C8" w:rsidP="007458C8">
      <w:pPr>
        <w:ind w:right="-68"/>
        <w:rPr>
          <w:sz w:val="26"/>
          <w:szCs w:val="26"/>
        </w:rPr>
      </w:pPr>
    </w:p>
    <w:p w:rsidR="007458C8" w:rsidRPr="00B25AD7" w:rsidRDefault="007458C8" w:rsidP="007458C8">
      <w:pPr>
        <w:ind w:right="-68"/>
        <w:rPr>
          <w:sz w:val="26"/>
          <w:szCs w:val="26"/>
        </w:rPr>
      </w:pPr>
    </w:p>
    <w:p w:rsidR="007458C8" w:rsidRPr="00B25AD7" w:rsidRDefault="007458C8" w:rsidP="007458C8">
      <w:pPr>
        <w:ind w:right="-68"/>
        <w:rPr>
          <w:sz w:val="26"/>
          <w:szCs w:val="26"/>
        </w:rPr>
      </w:pPr>
    </w:p>
    <w:p w:rsidR="007458C8" w:rsidRDefault="007458C8" w:rsidP="007458C8">
      <w:pPr>
        <w:ind w:right="-68"/>
        <w:rPr>
          <w:sz w:val="26"/>
          <w:szCs w:val="26"/>
        </w:rPr>
      </w:pPr>
    </w:p>
    <w:p w:rsidR="007458C8" w:rsidRPr="006503B5" w:rsidRDefault="007458C8" w:rsidP="00780156">
      <w:pPr>
        <w:tabs>
          <w:tab w:val="left" w:pos="1276"/>
        </w:tabs>
        <w:ind w:right="-68"/>
        <w:jc w:val="both"/>
      </w:pPr>
      <w:proofErr w:type="spellStart"/>
      <w:r w:rsidRPr="006503B5">
        <w:t>F.No</w:t>
      </w:r>
      <w:proofErr w:type="spellEnd"/>
      <w:r w:rsidRPr="006503B5">
        <w:t>. 2(3)/2016-Exam.II</w:t>
      </w:r>
      <w:r w:rsidRPr="006503B5">
        <w:tab/>
      </w:r>
      <w:r w:rsidRPr="006503B5">
        <w:tab/>
      </w:r>
      <w:r w:rsidRPr="006503B5">
        <w:tab/>
      </w:r>
      <w:r w:rsidRPr="006503B5">
        <w:tab/>
        <w:t xml:space="preserve">                 </w:t>
      </w:r>
      <w:r>
        <w:t xml:space="preserve">  </w:t>
      </w:r>
      <w:r w:rsidR="00FF5E99">
        <w:t xml:space="preserve">   </w:t>
      </w:r>
      <w:r w:rsidRPr="006503B5">
        <w:t xml:space="preserve">Dated the </w:t>
      </w:r>
      <w:r w:rsidR="00FF5E99">
        <w:t>3</w:t>
      </w:r>
      <w:r>
        <w:t>1</w:t>
      </w:r>
      <w:r w:rsidRPr="00317B66">
        <w:rPr>
          <w:vertAlign w:val="superscript"/>
        </w:rPr>
        <w:t>st</w:t>
      </w:r>
      <w:r>
        <w:t xml:space="preserve"> </w:t>
      </w:r>
      <w:r w:rsidR="00FF5E99">
        <w:t>August</w:t>
      </w:r>
      <w:r w:rsidRPr="006503B5">
        <w:t>, 2016</w:t>
      </w:r>
    </w:p>
    <w:p w:rsidR="007458C8" w:rsidRPr="006503B5" w:rsidRDefault="007458C8" w:rsidP="007458C8">
      <w:pPr>
        <w:spacing w:line="276" w:lineRule="auto"/>
        <w:ind w:right="-68"/>
      </w:pPr>
    </w:p>
    <w:p w:rsidR="007458C8" w:rsidRPr="006503B5" w:rsidRDefault="007458C8" w:rsidP="007458C8">
      <w:pPr>
        <w:ind w:right="-68"/>
        <w:jc w:val="center"/>
        <w:rPr>
          <w:b/>
          <w:u w:val="single"/>
        </w:rPr>
      </w:pPr>
      <w:r w:rsidRPr="006503B5">
        <w:rPr>
          <w:b/>
          <w:u w:val="single"/>
        </w:rPr>
        <w:t>CORRIGENDUM</w:t>
      </w:r>
    </w:p>
    <w:p w:rsidR="007458C8" w:rsidRPr="006503B5" w:rsidRDefault="007458C8" w:rsidP="007458C8">
      <w:pPr>
        <w:ind w:right="-68"/>
        <w:jc w:val="center"/>
        <w:rPr>
          <w:b/>
          <w:u w:val="single"/>
        </w:rPr>
      </w:pPr>
    </w:p>
    <w:p w:rsidR="007458C8" w:rsidRPr="006503B5" w:rsidRDefault="007458C8" w:rsidP="007458C8">
      <w:pPr>
        <w:tabs>
          <w:tab w:val="left" w:pos="993"/>
        </w:tabs>
        <w:ind w:right="-68"/>
        <w:jc w:val="both"/>
      </w:pPr>
      <w:r w:rsidRPr="006503B5">
        <w:tab/>
        <w:t>With reference to E-Tender Notice No. 2(3)/2016-Exam.II dated 23.08.2016 available on CPP Portal vide Tender ID NO. 2016_DARE_117318_1 and ASRB/ICAR’s websites for conduct of Online Computer Based (CBT) Examination including online registrations of applications for recruitment to the posts under Indian Council of Agricultural Research (ICAR) and its Research Institutes/KVKs during 2016-17, following clarifications are made:</w:t>
      </w:r>
    </w:p>
    <w:p w:rsidR="007458C8" w:rsidRPr="006503B5" w:rsidRDefault="007458C8" w:rsidP="007458C8">
      <w:pPr>
        <w:tabs>
          <w:tab w:val="left" w:pos="993"/>
        </w:tabs>
        <w:ind w:right="-68"/>
        <w:jc w:val="both"/>
      </w:pPr>
    </w:p>
    <w:tbl>
      <w:tblPr>
        <w:tblStyle w:val="TableGrid"/>
        <w:tblW w:w="9450" w:type="dxa"/>
        <w:tblInd w:w="-72" w:type="dxa"/>
        <w:tblLook w:val="04A0"/>
      </w:tblPr>
      <w:tblGrid>
        <w:gridCol w:w="671"/>
        <w:gridCol w:w="1489"/>
        <w:gridCol w:w="2610"/>
        <w:gridCol w:w="4680"/>
      </w:tblGrid>
      <w:tr w:rsidR="007458C8" w:rsidRPr="00696B4E" w:rsidTr="009F2C90">
        <w:tc>
          <w:tcPr>
            <w:tcW w:w="671" w:type="dxa"/>
          </w:tcPr>
          <w:p w:rsidR="007458C8" w:rsidRPr="00696B4E" w:rsidRDefault="007458C8" w:rsidP="009F2C90">
            <w:pPr>
              <w:tabs>
                <w:tab w:val="left" w:pos="993"/>
              </w:tabs>
              <w:ind w:right="72"/>
              <w:jc w:val="center"/>
              <w:rPr>
                <w:b/>
                <w:bCs/>
                <w:sz w:val="23"/>
                <w:szCs w:val="23"/>
              </w:rPr>
            </w:pPr>
            <w:r w:rsidRPr="00696B4E">
              <w:rPr>
                <w:b/>
                <w:bCs/>
                <w:sz w:val="23"/>
                <w:szCs w:val="23"/>
              </w:rPr>
              <w:t>Sl. No.</w:t>
            </w:r>
          </w:p>
        </w:tc>
        <w:tc>
          <w:tcPr>
            <w:tcW w:w="1489" w:type="dxa"/>
          </w:tcPr>
          <w:p w:rsidR="007458C8" w:rsidRPr="00696B4E" w:rsidRDefault="007458C8" w:rsidP="009F2C90">
            <w:pPr>
              <w:tabs>
                <w:tab w:val="left" w:pos="993"/>
              </w:tabs>
              <w:ind w:right="72"/>
              <w:jc w:val="center"/>
              <w:rPr>
                <w:b/>
                <w:bCs/>
                <w:sz w:val="23"/>
                <w:szCs w:val="23"/>
              </w:rPr>
            </w:pPr>
            <w:r w:rsidRPr="00696B4E">
              <w:rPr>
                <w:b/>
                <w:bCs/>
                <w:sz w:val="23"/>
                <w:szCs w:val="23"/>
              </w:rPr>
              <w:t>Para</w:t>
            </w:r>
          </w:p>
        </w:tc>
        <w:tc>
          <w:tcPr>
            <w:tcW w:w="2610" w:type="dxa"/>
          </w:tcPr>
          <w:p w:rsidR="007458C8" w:rsidRPr="00696B4E" w:rsidRDefault="007458C8" w:rsidP="009F2C90">
            <w:pPr>
              <w:tabs>
                <w:tab w:val="left" w:pos="993"/>
              </w:tabs>
              <w:ind w:right="72"/>
              <w:jc w:val="center"/>
              <w:rPr>
                <w:b/>
                <w:bCs/>
                <w:sz w:val="23"/>
                <w:szCs w:val="23"/>
                <w:lang w:val="en-IN"/>
              </w:rPr>
            </w:pPr>
            <w:r w:rsidRPr="00696B4E">
              <w:rPr>
                <w:b/>
                <w:bCs/>
                <w:sz w:val="23"/>
                <w:szCs w:val="23"/>
              </w:rPr>
              <w:t>Point of doubt</w:t>
            </w:r>
          </w:p>
        </w:tc>
        <w:tc>
          <w:tcPr>
            <w:tcW w:w="4680" w:type="dxa"/>
          </w:tcPr>
          <w:p w:rsidR="007458C8" w:rsidRPr="00696B4E" w:rsidRDefault="007458C8" w:rsidP="009F2C90">
            <w:pPr>
              <w:tabs>
                <w:tab w:val="left" w:pos="993"/>
              </w:tabs>
              <w:jc w:val="center"/>
              <w:rPr>
                <w:b/>
                <w:bCs/>
                <w:sz w:val="23"/>
                <w:szCs w:val="23"/>
                <w:lang w:val="en-IN"/>
              </w:rPr>
            </w:pPr>
            <w:r w:rsidRPr="00696B4E">
              <w:rPr>
                <w:b/>
                <w:bCs/>
                <w:sz w:val="23"/>
                <w:szCs w:val="23"/>
              </w:rPr>
              <w:t>Clarification</w:t>
            </w:r>
          </w:p>
        </w:tc>
      </w:tr>
      <w:tr w:rsidR="007458C8" w:rsidRPr="00696B4E" w:rsidTr="009F2C90">
        <w:tc>
          <w:tcPr>
            <w:tcW w:w="671" w:type="dxa"/>
          </w:tcPr>
          <w:p w:rsidR="007458C8" w:rsidRPr="00696B4E" w:rsidRDefault="007458C8" w:rsidP="009F2C90">
            <w:pPr>
              <w:tabs>
                <w:tab w:val="left" w:pos="993"/>
              </w:tabs>
              <w:ind w:right="72"/>
              <w:jc w:val="both"/>
              <w:rPr>
                <w:sz w:val="23"/>
                <w:szCs w:val="23"/>
              </w:rPr>
            </w:pPr>
            <w:r w:rsidRPr="00696B4E">
              <w:rPr>
                <w:sz w:val="23"/>
                <w:szCs w:val="23"/>
              </w:rPr>
              <w:t>1</w:t>
            </w:r>
          </w:p>
        </w:tc>
        <w:tc>
          <w:tcPr>
            <w:tcW w:w="1489" w:type="dxa"/>
          </w:tcPr>
          <w:p w:rsidR="007458C8" w:rsidRPr="00696B4E" w:rsidRDefault="007458C8" w:rsidP="009F2C90">
            <w:pPr>
              <w:tabs>
                <w:tab w:val="left" w:pos="993"/>
              </w:tabs>
              <w:ind w:right="-108"/>
              <w:rPr>
                <w:bCs/>
                <w:sz w:val="23"/>
                <w:szCs w:val="23"/>
                <w:lang w:val="en-IN"/>
              </w:rPr>
            </w:pPr>
            <w:r w:rsidRPr="00696B4E">
              <w:rPr>
                <w:bCs/>
                <w:sz w:val="23"/>
                <w:szCs w:val="23"/>
                <w:lang w:val="en-IN"/>
              </w:rPr>
              <w:t>4.4 of Schedule-II</w:t>
            </w:r>
          </w:p>
          <w:p w:rsidR="007458C8" w:rsidRPr="00696B4E" w:rsidRDefault="007458C8" w:rsidP="009F2C90">
            <w:pPr>
              <w:tabs>
                <w:tab w:val="left" w:pos="993"/>
              </w:tabs>
              <w:ind w:right="-108"/>
              <w:rPr>
                <w:bCs/>
                <w:sz w:val="23"/>
                <w:szCs w:val="23"/>
                <w:lang w:val="en-IN"/>
              </w:rPr>
            </w:pPr>
            <w:r w:rsidRPr="00696B4E">
              <w:rPr>
                <w:bCs/>
                <w:sz w:val="23"/>
                <w:szCs w:val="23"/>
                <w:lang w:val="en-IN"/>
              </w:rPr>
              <w:t>(p.19)</w:t>
            </w:r>
          </w:p>
        </w:tc>
        <w:tc>
          <w:tcPr>
            <w:tcW w:w="2610" w:type="dxa"/>
          </w:tcPr>
          <w:p w:rsidR="007458C8" w:rsidRPr="00696B4E" w:rsidRDefault="007458C8" w:rsidP="009F2C90">
            <w:pPr>
              <w:tabs>
                <w:tab w:val="left" w:pos="993"/>
              </w:tabs>
              <w:ind w:right="72"/>
              <w:jc w:val="both"/>
              <w:rPr>
                <w:sz w:val="23"/>
                <w:szCs w:val="23"/>
              </w:rPr>
            </w:pPr>
            <w:r w:rsidRPr="00696B4E">
              <w:rPr>
                <w:sz w:val="23"/>
                <w:szCs w:val="23"/>
              </w:rPr>
              <w:t xml:space="preserve">Out of the two </w:t>
            </w:r>
            <w:r w:rsidRPr="00696B4E">
              <w:rPr>
                <w:bCs/>
                <w:sz w:val="23"/>
                <w:szCs w:val="23"/>
                <w:lang w:val="en-IN"/>
              </w:rPr>
              <w:t>Financial Bids 1 and 2, which Bid would be considered.</w:t>
            </w:r>
          </w:p>
        </w:tc>
        <w:tc>
          <w:tcPr>
            <w:tcW w:w="4680" w:type="dxa"/>
          </w:tcPr>
          <w:p w:rsidR="007458C8" w:rsidRPr="00696B4E" w:rsidRDefault="007458C8" w:rsidP="009F2C90">
            <w:pPr>
              <w:tabs>
                <w:tab w:val="left" w:pos="993"/>
              </w:tabs>
              <w:jc w:val="both"/>
              <w:rPr>
                <w:sz w:val="23"/>
                <w:szCs w:val="23"/>
              </w:rPr>
            </w:pPr>
            <w:r w:rsidRPr="00696B4E">
              <w:rPr>
                <w:sz w:val="23"/>
                <w:szCs w:val="23"/>
              </w:rPr>
              <w:t xml:space="preserve">Attention is drawn towards </w:t>
            </w:r>
            <w:proofErr w:type="spellStart"/>
            <w:r w:rsidRPr="00696B4E">
              <w:rPr>
                <w:sz w:val="23"/>
                <w:szCs w:val="23"/>
              </w:rPr>
              <w:t>para</w:t>
            </w:r>
            <w:proofErr w:type="spellEnd"/>
            <w:r w:rsidRPr="00696B4E">
              <w:rPr>
                <w:sz w:val="23"/>
                <w:szCs w:val="23"/>
              </w:rPr>
              <w:t xml:space="preserve"> 4.4 of Schedule-II of the tender document where it is clearly mentioned that the Financial Bid 1 shall be for Single Slot examination and Financial Bid 2 shall be for two examinations in two slots on a single day. Registration for the two exams will be separate. Hence, two rates to be quoted by the bidders shall be distinctly separate rates and in view of </w:t>
            </w:r>
            <w:proofErr w:type="spellStart"/>
            <w:r w:rsidRPr="00696B4E">
              <w:rPr>
                <w:sz w:val="23"/>
                <w:szCs w:val="23"/>
              </w:rPr>
              <w:t>para</w:t>
            </w:r>
            <w:proofErr w:type="spellEnd"/>
            <w:r w:rsidRPr="00696B4E">
              <w:rPr>
                <w:sz w:val="23"/>
                <w:szCs w:val="23"/>
              </w:rPr>
              <w:t xml:space="preserve"> 4.5 of Schedule-II</w:t>
            </w:r>
            <w:r>
              <w:rPr>
                <w:sz w:val="23"/>
                <w:szCs w:val="23"/>
              </w:rPr>
              <w:t>,</w:t>
            </w:r>
            <w:r w:rsidRPr="00696B4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i</w:t>
            </w:r>
            <w:r w:rsidRPr="00696B4E">
              <w:rPr>
                <w:sz w:val="23"/>
                <w:szCs w:val="23"/>
              </w:rPr>
              <w:t>f one exam will be held during the contract period, L-1 firm in Bid-</w:t>
            </w:r>
            <w:r>
              <w:rPr>
                <w:sz w:val="23"/>
                <w:szCs w:val="23"/>
              </w:rPr>
              <w:t>1</w:t>
            </w:r>
            <w:r w:rsidRPr="00696B4E">
              <w:rPr>
                <w:sz w:val="23"/>
                <w:szCs w:val="23"/>
              </w:rPr>
              <w:t xml:space="preserve"> will be awarded the work. If two exams will be held in a single day in two different slots, L-1 firm in Bid-2 will be awarded the work. A firm decision in this regard will be taken before award of contract and before deposit of security and before validity of offered rate expire.</w:t>
            </w:r>
          </w:p>
        </w:tc>
      </w:tr>
      <w:tr w:rsidR="007458C8" w:rsidRPr="00696B4E" w:rsidTr="009F2C90">
        <w:tc>
          <w:tcPr>
            <w:tcW w:w="671" w:type="dxa"/>
          </w:tcPr>
          <w:p w:rsidR="007458C8" w:rsidRPr="00696B4E" w:rsidRDefault="007458C8" w:rsidP="009F2C90">
            <w:pPr>
              <w:tabs>
                <w:tab w:val="left" w:pos="993"/>
              </w:tabs>
              <w:ind w:right="72"/>
              <w:jc w:val="both"/>
              <w:rPr>
                <w:sz w:val="23"/>
                <w:szCs w:val="23"/>
              </w:rPr>
            </w:pPr>
            <w:r w:rsidRPr="00696B4E">
              <w:rPr>
                <w:sz w:val="23"/>
                <w:szCs w:val="23"/>
              </w:rPr>
              <w:t>2</w:t>
            </w:r>
          </w:p>
        </w:tc>
        <w:tc>
          <w:tcPr>
            <w:tcW w:w="1489" w:type="dxa"/>
          </w:tcPr>
          <w:p w:rsidR="007458C8" w:rsidRPr="00696B4E" w:rsidRDefault="007458C8" w:rsidP="009F2C90">
            <w:pPr>
              <w:tabs>
                <w:tab w:val="left" w:pos="993"/>
              </w:tabs>
              <w:ind w:right="-108"/>
              <w:rPr>
                <w:bCs/>
                <w:sz w:val="23"/>
                <w:szCs w:val="23"/>
                <w:lang w:val="en-IN"/>
              </w:rPr>
            </w:pPr>
            <w:r w:rsidRPr="00696B4E">
              <w:rPr>
                <w:bCs/>
                <w:sz w:val="23"/>
                <w:szCs w:val="23"/>
                <w:lang w:val="en-IN"/>
              </w:rPr>
              <w:t>A VI (vii) of Schedule-II</w:t>
            </w:r>
          </w:p>
          <w:p w:rsidR="007458C8" w:rsidRPr="00696B4E" w:rsidRDefault="007458C8" w:rsidP="009F2C90">
            <w:pPr>
              <w:tabs>
                <w:tab w:val="left" w:pos="993"/>
              </w:tabs>
              <w:ind w:right="-108"/>
              <w:rPr>
                <w:bCs/>
                <w:sz w:val="23"/>
                <w:szCs w:val="23"/>
                <w:lang w:val="en-IN"/>
              </w:rPr>
            </w:pPr>
            <w:r w:rsidRPr="00696B4E">
              <w:rPr>
                <w:bCs/>
                <w:sz w:val="23"/>
                <w:szCs w:val="23"/>
                <w:lang w:val="en-IN"/>
              </w:rPr>
              <w:t>(p. 14)</w:t>
            </w:r>
          </w:p>
        </w:tc>
        <w:tc>
          <w:tcPr>
            <w:tcW w:w="2610" w:type="dxa"/>
          </w:tcPr>
          <w:p w:rsidR="007458C8" w:rsidRPr="00696B4E" w:rsidRDefault="007458C8" w:rsidP="009F2C90">
            <w:pPr>
              <w:tabs>
                <w:tab w:val="left" w:pos="993"/>
              </w:tabs>
              <w:ind w:right="72"/>
              <w:jc w:val="both"/>
              <w:rPr>
                <w:sz w:val="23"/>
                <w:szCs w:val="23"/>
              </w:rPr>
            </w:pPr>
            <w:r w:rsidRPr="00696B4E">
              <w:rPr>
                <w:sz w:val="23"/>
                <w:szCs w:val="23"/>
              </w:rPr>
              <w:t xml:space="preserve">…which is to be handed over to ASRB after completion of examination, </w:t>
            </w:r>
            <w:r w:rsidRPr="00696B4E">
              <w:rPr>
                <w:sz w:val="23"/>
                <w:szCs w:val="23"/>
                <w:u w:val="single"/>
              </w:rPr>
              <w:t>CCTV cameras in all the corridors of exam centre</w:t>
            </w:r>
            <w:r w:rsidRPr="00696B4E">
              <w:rPr>
                <w:sz w:val="23"/>
                <w:szCs w:val="23"/>
              </w:rPr>
              <w:t xml:space="preserve"> and hand </w:t>
            </w:r>
            <w:proofErr w:type="spellStart"/>
            <w:r w:rsidRPr="00696B4E">
              <w:rPr>
                <w:sz w:val="23"/>
                <w:szCs w:val="23"/>
              </w:rPr>
              <w:t>videography</w:t>
            </w:r>
            <w:proofErr w:type="spellEnd"/>
            <w:r w:rsidRPr="00696B4E">
              <w:rPr>
                <w:sz w:val="23"/>
                <w:szCs w:val="23"/>
              </w:rPr>
              <w:t xml:space="preserve"> at all the places of online examination throughout exam process… </w:t>
            </w:r>
          </w:p>
        </w:tc>
        <w:tc>
          <w:tcPr>
            <w:tcW w:w="4680" w:type="dxa"/>
          </w:tcPr>
          <w:p w:rsidR="007458C8" w:rsidRPr="00696B4E" w:rsidRDefault="007458C8" w:rsidP="009F2C90">
            <w:pPr>
              <w:tabs>
                <w:tab w:val="left" w:pos="993"/>
              </w:tabs>
              <w:jc w:val="both"/>
              <w:rPr>
                <w:sz w:val="23"/>
                <w:szCs w:val="23"/>
              </w:rPr>
            </w:pPr>
            <w:r w:rsidRPr="00696B4E">
              <w:rPr>
                <w:sz w:val="23"/>
                <w:szCs w:val="23"/>
              </w:rPr>
              <w:t xml:space="preserve">CCTV cameras are to be installed in examination hall/room as well as at the entry/ exit gates, hence for </w:t>
            </w:r>
            <w:proofErr w:type="spellStart"/>
            <w:r w:rsidRPr="00696B4E">
              <w:rPr>
                <w:sz w:val="23"/>
                <w:szCs w:val="23"/>
              </w:rPr>
              <w:t>para</w:t>
            </w:r>
            <w:proofErr w:type="spellEnd"/>
            <w:r w:rsidRPr="00696B4E">
              <w:rPr>
                <w:sz w:val="23"/>
                <w:szCs w:val="23"/>
              </w:rPr>
              <w:t xml:space="preserve"> 2 A (vii) of Schedule-II of the tender document, the following shall be read as deleted:</w:t>
            </w:r>
          </w:p>
          <w:p w:rsidR="007458C8" w:rsidRPr="00696B4E" w:rsidRDefault="007458C8" w:rsidP="009F2C90">
            <w:pPr>
              <w:tabs>
                <w:tab w:val="left" w:pos="993"/>
              </w:tabs>
              <w:jc w:val="both"/>
              <w:rPr>
                <w:sz w:val="23"/>
                <w:szCs w:val="23"/>
              </w:rPr>
            </w:pPr>
            <w:r w:rsidRPr="00696B4E">
              <w:rPr>
                <w:sz w:val="23"/>
                <w:szCs w:val="23"/>
              </w:rPr>
              <w:t>“CCTV cameras in all the corridors of exam centre”.</w:t>
            </w:r>
          </w:p>
        </w:tc>
      </w:tr>
      <w:tr w:rsidR="007458C8" w:rsidRPr="00696B4E" w:rsidTr="009F2C90">
        <w:tc>
          <w:tcPr>
            <w:tcW w:w="671" w:type="dxa"/>
          </w:tcPr>
          <w:p w:rsidR="007458C8" w:rsidRPr="00696B4E" w:rsidRDefault="007458C8" w:rsidP="009F2C90">
            <w:pPr>
              <w:tabs>
                <w:tab w:val="left" w:pos="993"/>
              </w:tabs>
              <w:ind w:right="72"/>
              <w:jc w:val="both"/>
              <w:rPr>
                <w:sz w:val="23"/>
                <w:szCs w:val="23"/>
              </w:rPr>
            </w:pPr>
            <w:r w:rsidRPr="00696B4E">
              <w:rPr>
                <w:sz w:val="23"/>
                <w:szCs w:val="23"/>
              </w:rPr>
              <w:t>3</w:t>
            </w:r>
          </w:p>
        </w:tc>
        <w:tc>
          <w:tcPr>
            <w:tcW w:w="1489" w:type="dxa"/>
          </w:tcPr>
          <w:p w:rsidR="007458C8" w:rsidRPr="00696B4E" w:rsidRDefault="007458C8" w:rsidP="009F2C90">
            <w:pPr>
              <w:tabs>
                <w:tab w:val="left" w:pos="993"/>
              </w:tabs>
              <w:ind w:right="-108"/>
              <w:rPr>
                <w:bCs/>
                <w:sz w:val="23"/>
                <w:szCs w:val="23"/>
                <w:lang w:val="en-IN"/>
              </w:rPr>
            </w:pPr>
            <w:r w:rsidRPr="00696B4E">
              <w:rPr>
                <w:bCs/>
                <w:sz w:val="23"/>
                <w:szCs w:val="23"/>
                <w:lang w:val="en-IN"/>
              </w:rPr>
              <w:t>B I (xi) of Schedule-II</w:t>
            </w:r>
          </w:p>
          <w:p w:rsidR="007458C8" w:rsidRPr="00696B4E" w:rsidRDefault="007458C8" w:rsidP="009F2C90">
            <w:pPr>
              <w:tabs>
                <w:tab w:val="left" w:pos="993"/>
              </w:tabs>
              <w:ind w:right="-108"/>
              <w:rPr>
                <w:sz w:val="23"/>
                <w:szCs w:val="23"/>
              </w:rPr>
            </w:pPr>
            <w:r w:rsidRPr="00696B4E">
              <w:rPr>
                <w:bCs/>
                <w:sz w:val="23"/>
                <w:szCs w:val="23"/>
                <w:lang w:val="en-IN"/>
              </w:rPr>
              <w:t>(p.15)</w:t>
            </w:r>
          </w:p>
        </w:tc>
        <w:tc>
          <w:tcPr>
            <w:tcW w:w="2610" w:type="dxa"/>
          </w:tcPr>
          <w:p w:rsidR="007458C8" w:rsidRPr="00696B4E" w:rsidRDefault="007458C8" w:rsidP="009F2C90">
            <w:pPr>
              <w:tabs>
                <w:tab w:val="left" w:pos="993"/>
              </w:tabs>
              <w:ind w:right="72"/>
              <w:jc w:val="both"/>
              <w:rPr>
                <w:sz w:val="23"/>
                <w:szCs w:val="23"/>
                <w:lang w:val="en-IN"/>
              </w:rPr>
            </w:pPr>
            <w:r w:rsidRPr="00696B4E">
              <w:rPr>
                <w:sz w:val="23"/>
                <w:szCs w:val="23"/>
              </w:rPr>
              <w:t>…</w:t>
            </w:r>
            <w:r w:rsidRPr="00696B4E">
              <w:rPr>
                <w:sz w:val="23"/>
                <w:szCs w:val="23"/>
                <w:u w:val="single"/>
              </w:rPr>
              <w:t>Working mobile jammers</w:t>
            </w:r>
            <w:r w:rsidRPr="00696B4E">
              <w:rPr>
                <w:sz w:val="23"/>
                <w:szCs w:val="23"/>
              </w:rPr>
              <w:t xml:space="preserve"> and </w:t>
            </w:r>
            <w:proofErr w:type="spellStart"/>
            <w:r w:rsidRPr="00696B4E">
              <w:rPr>
                <w:sz w:val="23"/>
                <w:szCs w:val="23"/>
              </w:rPr>
              <w:t>cctv</w:t>
            </w:r>
            <w:proofErr w:type="spellEnd"/>
            <w:r w:rsidRPr="00696B4E">
              <w:rPr>
                <w:sz w:val="23"/>
                <w:szCs w:val="23"/>
              </w:rPr>
              <w:t xml:space="preserve"> camera recording during entire exam process at test centers (one </w:t>
            </w:r>
            <w:proofErr w:type="spellStart"/>
            <w:r w:rsidRPr="00696B4E">
              <w:rPr>
                <w:sz w:val="23"/>
                <w:szCs w:val="23"/>
              </w:rPr>
              <w:t>cctv</w:t>
            </w:r>
            <w:proofErr w:type="spellEnd"/>
            <w:r w:rsidRPr="00696B4E">
              <w:rPr>
                <w:sz w:val="23"/>
                <w:szCs w:val="23"/>
              </w:rPr>
              <w:t xml:space="preserve"> camera per ten candidates)…</w:t>
            </w:r>
          </w:p>
        </w:tc>
        <w:tc>
          <w:tcPr>
            <w:tcW w:w="4680" w:type="dxa"/>
          </w:tcPr>
          <w:p w:rsidR="007458C8" w:rsidRPr="00696B4E" w:rsidRDefault="007458C8" w:rsidP="009F2C90">
            <w:pPr>
              <w:tabs>
                <w:tab w:val="left" w:pos="993"/>
              </w:tabs>
              <w:jc w:val="both"/>
              <w:rPr>
                <w:sz w:val="23"/>
                <w:szCs w:val="23"/>
              </w:rPr>
            </w:pPr>
            <w:r w:rsidRPr="00696B4E">
              <w:rPr>
                <w:sz w:val="23"/>
                <w:szCs w:val="23"/>
              </w:rPr>
              <w:t xml:space="preserve">For </w:t>
            </w:r>
            <w:proofErr w:type="spellStart"/>
            <w:r w:rsidRPr="00696B4E">
              <w:rPr>
                <w:sz w:val="23"/>
                <w:szCs w:val="23"/>
              </w:rPr>
              <w:t>para</w:t>
            </w:r>
            <w:proofErr w:type="spellEnd"/>
            <w:r w:rsidRPr="00696B4E">
              <w:rPr>
                <w:sz w:val="23"/>
                <w:szCs w:val="23"/>
              </w:rPr>
              <w:t xml:space="preserve"> 2 B I (xi) of Schedule-II of the tender document, the following shall be read as deleted:</w:t>
            </w:r>
          </w:p>
          <w:p w:rsidR="007458C8" w:rsidRPr="00696B4E" w:rsidRDefault="007458C8" w:rsidP="009F2C90">
            <w:pPr>
              <w:tabs>
                <w:tab w:val="left" w:pos="993"/>
              </w:tabs>
              <w:jc w:val="both"/>
              <w:rPr>
                <w:sz w:val="23"/>
                <w:szCs w:val="23"/>
              </w:rPr>
            </w:pPr>
            <w:r w:rsidRPr="00696B4E">
              <w:rPr>
                <w:sz w:val="23"/>
                <w:szCs w:val="23"/>
              </w:rPr>
              <w:t>“Working mobile jammers”.</w:t>
            </w:r>
          </w:p>
        </w:tc>
      </w:tr>
      <w:tr w:rsidR="007458C8" w:rsidRPr="00696B4E" w:rsidTr="009F2C90">
        <w:tc>
          <w:tcPr>
            <w:tcW w:w="671" w:type="dxa"/>
          </w:tcPr>
          <w:p w:rsidR="007458C8" w:rsidRPr="00696B4E" w:rsidRDefault="007458C8" w:rsidP="009F2C90">
            <w:pPr>
              <w:tabs>
                <w:tab w:val="left" w:pos="993"/>
              </w:tabs>
              <w:ind w:right="72"/>
              <w:jc w:val="both"/>
              <w:rPr>
                <w:sz w:val="23"/>
                <w:szCs w:val="23"/>
              </w:rPr>
            </w:pPr>
            <w:r w:rsidRPr="00696B4E">
              <w:rPr>
                <w:sz w:val="23"/>
                <w:szCs w:val="23"/>
              </w:rPr>
              <w:t>4</w:t>
            </w:r>
          </w:p>
        </w:tc>
        <w:tc>
          <w:tcPr>
            <w:tcW w:w="1489" w:type="dxa"/>
          </w:tcPr>
          <w:p w:rsidR="007458C8" w:rsidRPr="00696B4E" w:rsidRDefault="007458C8" w:rsidP="009F2C90">
            <w:pPr>
              <w:tabs>
                <w:tab w:val="left" w:pos="993"/>
              </w:tabs>
              <w:ind w:right="-108"/>
              <w:rPr>
                <w:bCs/>
                <w:sz w:val="23"/>
                <w:szCs w:val="23"/>
                <w:lang w:val="en-IN"/>
              </w:rPr>
            </w:pPr>
          </w:p>
        </w:tc>
        <w:tc>
          <w:tcPr>
            <w:tcW w:w="2610" w:type="dxa"/>
          </w:tcPr>
          <w:p w:rsidR="007458C8" w:rsidRPr="00696B4E" w:rsidRDefault="007458C8" w:rsidP="009F2C90">
            <w:pPr>
              <w:tabs>
                <w:tab w:val="left" w:pos="993"/>
              </w:tabs>
              <w:ind w:right="72"/>
              <w:jc w:val="both"/>
              <w:rPr>
                <w:sz w:val="23"/>
                <w:szCs w:val="23"/>
              </w:rPr>
            </w:pPr>
            <w:r w:rsidRPr="00696B4E">
              <w:rPr>
                <w:sz w:val="23"/>
                <w:szCs w:val="23"/>
              </w:rPr>
              <w:t>How extra time to be given to the candidates provided help of a scribe is to be regulated.</w:t>
            </w:r>
          </w:p>
        </w:tc>
        <w:tc>
          <w:tcPr>
            <w:tcW w:w="4680" w:type="dxa"/>
          </w:tcPr>
          <w:p w:rsidR="007458C8" w:rsidRPr="00696B4E" w:rsidRDefault="007458C8" w:rsidP="009F2C90">
            <w:pPr>
              <w:tabs>
                <w:tab w:val="left" w:pos="993"/>
              </w:tabs>
              <w:jc w:val="both"/>
              <w:rPr>
                <w:sz w:val="23"/>
                <w:szCs w:val="23"/>
              </w:rPr>
            </w:pPr>
            <w:r w:rsidRPr="00696B4E">
              <w:rPr>
                <w:sz w:val="23"/>
                <w:szCs w:val="23"/>
              </w:rPr>
              <w:t>Extra time of 20 minutes is to be given to a candidate to whom scribe help is given. Extra payment @ 1/6</w:t>
            </w:r>
            <w:r w:rsidRPr="00696B4E">
              <w:rPr>
                <w:sz w:val="23"/>
                <w:szCs w:val="23"/>
                <w:vertAlign w:val="superscript"/>
              </w:rPr>
              <w:t>th</w:t>
            </w:r>
            <w:r w:rsidRPr="00696B4E">
              <w:rPr>
                <w:sz w:val="23"/>
                <w:szCs w:val="23"/>
              </w:rPr>
              <w:t xml:space="preserve"> of the quoted rate will be made per such candidate appearing with scribe help.</w:t>
            </w:r>
          </w:p>
        </w:tc>
      </w:tr>
    </w:tbl>
    <w:p w:rsidR="007458C8" w:rsidRPr="006503B5" w:rsidRDefault="007458C8" w:rsidP="007458C8">
      <w:pPr>
        <w:tabs>
          <w:tab w:val="left" w:pos="993"/>
        </w:tabs>
        <w:ind w:right="-68"/>
        <w:jc w:val="both"/>
      </w:pPr>
    </w:p>
    <w:p w:rsidR="007458C8" w:rsidRPr="006503B5" w:rsidRDefault="007458C8" w:rsidP="007458C8">
      <w:pPr>
        <w:tabs>
          <w:tab w:val="left" w:pos="990"/>
        </w:tabs>
        <w:ind w:right="-68"/>
        <w:jc w:val="both"/>
        <w:rPr>
          <w:bCs/>
        </w:rPr>
      </w:pPr>
      <w:r w:rsidRPr="006503B5">
        <w:tab/>
      </w:r>
      <w:r w:rsidRPr="006503B5">
        <w:rPr>
          <w:bCs/>
        </w:rPr>
        <w:t>All the other terms and conditions will remain the same as notified earlier.</w:t>
      </w:r>
    </w:p>
    <w:p w:rsidR="00B8701A" w:rsidRDefault="0073007E"/>
    <w:sectPr w:rsidR="00B8701A" w:rsidSect="0010505E">
      <w:pgSz w:w="11907" w:h="16839" w:code="9"/>
      <w:pgMar w:top="630" w:right="1467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458C8"/>
    <w:rsid w:val="00056853"/>
    <w:rsid w:val="00080280"/>
    <w:rsid w:val="000A6835"/>
    <w:rsid w:val="00157418"/>
    <w:rsid w:val="001B4B78"/>
    <w:rsid w:val="002402DE"/>
    <w:rsid w:val="00242F3F"/>
    <w:rsid w:val="002C4AE5"/>
    <w:rsid w:val="002D122C"/>
    <w:rsid w:val="00303412"/>
    <w:rsid w:val="00370452"/>
    <w:rsid w:val="003A4622"/>
    <w:rsid w:val="003B68B0"/>
    <w:rsid w:val="003E5FD6"/>
    <w:rsid w:val="00430127"/>
    <w:rsid w:val="004459BC"/>
    <w:rsid w:val="004F4B6C"/>
    <w:rsid w:val="00562E37"/>
    <w:rsid w:val="005A408C"/>
    <w:rsid w:val="005D427F"/>
    <w:rsid w:val="0061520B"/>
    <w:rsid w:val="00627995"/>
    <w:rsid w:val="00671B10"/>
    <w:rsid w:val="006B5E16"/>
    <w:rsid w:val="0073007E"/>
    <w:rsid w:val="007458C8"/>
    <w:rsid w:val="00780156"/>
    <w:rsid w:val="008E7078"/>
    <w:rsid w:val="00940301"/>
    <w:rsid w:val="00983950"/>
    <w:rsid w:val="009941F0"/>
    <w:rsid w:val="00A50264"/>
    <w:rsid w:val="00B56EE6"/>
    <w:rsid w:val="00BA6473"/>
    <w:rsid w:val="00C800FF"/>
    <w:rsid w:val="00D140BF"/>
    <w:rsid w:val="00E045B4"/>
    <w:rsid w:val="00EB2A6E"/>
    <w:rsid w:val="00FF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ind w:left="1627" w:right="17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8C8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Fav."/>
    <w:uiPriority w:val="1"/>
    <w:qFormat/>
    <w:rsid w:val="00EB2A6E"/>
    <w:pPr>
      <w:jc w:val="both"/>
    </w:pPr>
    <w:rPr>
      <w:rFonts w:ascii="Times New Roman" w:eastAsiaTheme="minorEastAsia" w:hAnsi="Times New Roman"/>
      <w:sz w:val="26"/>
      <w:lang w:eastAsia="en-IN"/>
    </w:rPr>
  </w:style>
  <w:style w:type="table" w:styleId="TableGrid">
    <w:name w:val="Table Grid"/>
    <w:basedOn w:val="TableNormal"/>
    <w:uiPriority w:val="59"/>
    <w:rsid w:val="007458C8"/>
    <w:pPr>
      <w:ind w:left="0" w:right="0"/>
      <w:jc w:val="left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2195</Characters>
  <Application>Microsoft Office Word</Application>
  <DocSecurity>0</DocSecurity>
  <Lines>18</Lines>
  <Paragraphs>5</Paragraphs>
  <ScaleCrop>false</ScaleCrop>
  <Company>Microsoft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Umesh</dc:creator>
  <cp:lastModifiedBy>Umesh</cp:lastModifiedBy>
  <cp:revision>4</cp:revision>
  <dcterms:created xsi:type="dcterms:W3CDTF">2016-09-01T09:10:00Z</dcterms:created>
  <dcterms:modified xsi:type="dcterms:W3CDTF">2016-09-01T09:12:00Z</dcterms:modified>
</cp:coreProperties>
</file>